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606" w:rsidRDefault="00834606" w:rsidP="00834606">
      <w:pPr>
        <w:pStyle w:val="Paragraphedeliste"/>
        <w:numPr>
          <w:ilvl w:val="0"/>
          <w:numId w:val="0"/>
        </w:numPr>
        <w:spacing w:line="240" w:lineRule="auto"/>
        <w:ind w:left="357"/>
        <w:rPr>
          <w:rFonts w:ascii="Times New Roman" w:hAnsi="Times New Roman" w:cs="Times New Roman"/>
        </w:rPr>
      </w:pPr>
      <w:r>
        <w:rPr>
          <w:rFonts w:ascii="Times New Roman" w:hAnsi="Times New Roman" w:cs="Times New Roman"/>
        </w:rPr>
        <w:t xml:space="preserve">PISCINES  </w:t>
      </w:r>
    </w:p>
    <w:p w:rsidR="00834606" w:rsidRDefault="00834606" w:rsidP="00834606">
      <w:pPr>
        <w:pStyle w:val="Paragraphedeliste"/>
        <w:numPr>
          <w:ilvl w:val="0"/>
          <w:numId w:val="0"/>
        </w:numPr>
        <w:spacing w:line="240" w:lineRule="auto"/>
        <w:ind w:left="357"/>
        <w:rPr>
          <w:rFonts w:ascii="Times New Roman" w:hAnsi="Times New Roman" w:cs="Times New Roman"/>
        </w:rPr>
      </w:pPr>
    </w:p>
    <w:p w:rsidR="00834606" w:rsidRDefault="00834606" w:rsidP="00834606">
      <w:pPr>
        <w:pStyle w:val="Paragraphedeliste"/>
        <w:numPr>
          <w:ilvl w:val="0"/>
          <w:numId w:val="4"/>
        </w:numPr>
        <w:spacing w:line="240" w:lineRule="auto"/>
        <w:rPr>
          <w:rFonts w:ascii="Times New Roman" w:hAnsi="Times New Roman" w:cs="Times New Roman"/>
        </w:rPr>
      </w:pPr>
      <w:r>
        <w:rPr>
          <w:rFonts w:ascii="Times New Roman" w:hAnsi="Times New Roman" w:cs="Times New Roman"/>
        </w:rPr>
        <w:t>RAPPEL DES OBLIGATIONS DE DECLARATION</w:t>
      </w:r>
    </w:p>
    <w:tbl>
      <w:tblPr>
        <w:tblStyle w:val="Grilledutableau"/>
        <w:tblW w:w="0" w:type="auto"/>
        <w:tblInd w:w="250" w:type="dxa"/>
        <w:tblLook w:val="04A0" w:firstRow="1" w:lastRow="0" w:firstColumn="1" w:lastColumn="0" w:noHBand="0" w:noVBand="1"/>
      </w:tblPr>
      <w:tblGrid>
        <w:gridCol w:w="2028"/>
        <w:gridCol w:w="1721"/>
        <w:gridCol w:w="41"/>
        <w:gridCol w:w="1619"/>
        <w:gridCol w:w="1829"/>
        <w:gridCol w:w="103"/>
        <w:gridCol w:w="1696"/>
      </w:tblGrid>
      <w:tr w:rsidR="00834606" w:rsidTr="00AB0B00">
        <w:tc>
          <w:tcPr>
            <w:tcW w:w="2028" w:type="dxa"/>
            <w:vMerge w:val="restart"/>
            <w:vAlign w:val="center"/>
          </w:tcPr>
          <w:p w:rsidR="00834606" w:rsidRPr="007C5C3E" w:rsidRDefault="00834606" w:rsidP="00AB0B00">
            <w:pPr>
              <w:jc w:val="center"/>
              <w:rPr>
                <w:b/>
                <w:sz w:val="20"/>
                <w:szCs w:val="20"/>
                <w:u w:val="single"/>
              </w:rPr>
            </w:pPr>
            <w:r w:rsidRPr="007C5C3E">
              <w:rPr>
                <w:b/>
                <w:sz w:val="20"/>
                <w:szCs w:val="20"/>
                <w:u w:val="single"/>
              </w:rPr>
              <w:t>Surface du bassin</w:t>
            </w:r>
          </w:p>
        </w:tc>
        <w:tc>
          <w:tcPr>
            <w:tcW w:w="3381" w:type="dxa"/>
            <w:gridSpan w:val="3"/>
            <w:vAlign w:val="center"/>
          </w:tcPr>
          <w:p w:rsidR="00834606" w:rsidRPr="007C5C3E" w:rsidRDefault="00834606" w:rsidP="00AB0B00">
            <w:pPr>
              <w:jc w:val="center"/>
              <w:rPr>
                <w:b/>
                <w:sz w:val="20"/>
                <w:szCs w:val="20"/>
                <w:u w:val="single"/>
              </w:rPr>
            </w:pPr>
            <w:r w:rsidRPr="007C5C3E">
              <w:rPr>
                <w:b/>
                <w:sz w:val="20"/>
                <w:szCs w:val="20"/>
                <w:u w:val="single"/>
              </w:rPr>
              <w:t>Piscines dotées de fondations</w:t>
            </w:r>
          </w:p>
        </w:tc>
        <w:tc>
          <w:tcPr>
            <w:tcW w:w="3628" w:type="dxa"/>
            <w:gridSpan w:val="3"/>
            <w:vAlign w:val="center"/>
          </w:tcPr>
          <w:p w:rsidR="00834606" w:rsidRPr="007C5C3E" w:rsidRDefault="00834606" w:rsidP="00AB0B00">
            <w:pPr>
              <w:jc w:val="center"/>
              <w:rPr>
                <w:b/>
                <w:sz w:val="20"/>
                <w:szCs w:val="20"/>
                <w:u w:val="single"/>
              </w:rPr>
            </w:pPr>
            <w:r w:rsidRPr="007C5C3E">
              <w:rPr>
                <w:b/>
                <w:sz w:val="20"/>
                <w:szCs w:val="20"/>
                <w:u w:val="single"/>
              </w:rPr>
              <w:t>Piscines hors sols</w:t>
            </w:r>
          </w:p>
        </w:tc>
      </w:tr>
      <w:tr w:rsidR="00834606" w:rsidTr="00AB0B00">
        <w:tc>
          <w:tcPr>
            <w:tcW w:w="2028" w:type="dxa"/>
            <w:vMerge/>
            <w:vAlign w:val="center"/>
          </w:tcPr>
          <w:p w:rsidR="00834606" w:rsidRPr="007C5C3E" w:rsidRDefault="00834606" w:rsidP="00AB0B00">
            <w:pPr>
              <w:jc w:val="center"/>
              <w:rPr>
                <w:b/>
                <w:sz w:val="20"/>
                <w:szCs w:val="20"/>
                <w:u w:val="single"/>
              </w:rPr>
            </w:pPr>
          </w:p>
        </w:tc>
        <w:tc>
          <w:tcPr>
            <w:tcW w:w="1721" w:type="dxa"/>
            <w:vAlign w:val="center"/>
          </w:tcPr>
          <w:p w:rsidR="00834606" w:rsidRPr="007C5C3E" w:rsidRDefault="00834606" w:rsidP="00AB0B00">
            <w:pPr>
              <w:jc w:val="center"/>
              <w:rPr>
                <w:b/>
                <w:sz w:val="20"/>
                <w:szCs w:val="20"/>
                <w:u w:val="single"/>
              </w:rPr>
            </w:pPr>
            <w:r w:rsidRPr="007C5C3E">
              <w:rPr>
                <w:b/>
                <w:sz w:val="20"/>
                <w:szCs w:val="20"/>
                <w:u w:val="single"/>
              </w:rPr>
              <w:t>Enterrée</w:t>
            </w:r>
          </w:p>
        </w:tc>
        <w:tc>
          <w:tcPr>
            <w:tcW w:w="1660" w:type="dxa"/>
            <w:gridSpan w:val="2"/>
            <w:vAlign w:val="center"/>
          </w:tcPr>
          <w:p w:rsidR="00834606" w:rsidRPr="007C5C3E" w:rsidRDefault="00834606" w:rsidP="00AB0B00">
            <w:pPr>
              <w:jc w:val="center"/>
              <w:rPr>
                <w:b/>
                <w:sz w:val="20"/>
                <w:szCs w:val="20"/>
                <w:u w:val="single"/>
              </w:rPr>
            </w:pPr>
            <w:r w:rsidRPr="007C5C3E">
              <w:rPr>
                <w:b/>
                <w:sz w:val="20"/>
                <w:szCs w:val="20"/>
                <w:u w:val="single"/>
              </w:rPr>
              <w:t>Semi-enterrée</w:t>
            </w:r>
          </w:p>
        </w:tc>
        <w:tc>
          <w:tcPr>
            <w:tcW w:w="1932" w:type="dxa"/>
            <w:gridSpan w:val="2"/>
            <w:vAlign w:val="center"/>
          </w:tcPr>
          <w:p w:rsidR="00834606" w:rsidRPr="007C5C3E" w:rsidRDefault="00834606" w:rsidP="00AB0B00">
            <w:pPr>
              <w:jc w:val="center"/>
              <w:rPr>
                <w:b/>
                <w:sz w:val="20"/>
                <w:szCs w:val="20"/>
                <w:u w:val="single"/>
              </w:rPr>
            </w:pPr>
            <w:r w:rsidRPr="007C5C3E">
              <w:rPr>
                <w:b/>
                <w:sz w:val="20"/>
                <w:szCs w:val="20"/>
                <w:u w:val="single"/>
              </w:rPr>
              <w:t>Démontées (</w:t>
            </w:r>
            <w:r>
              <w:rPr>
                <w:b/>
                <w:sz w:val="20"/>
                <w:szCs w:val="20"/>
                <w:u w:val="single"/>
              </w:rPr>
              <w:t xml:space="preserve">installation </w:t>
            </w:r>
            <w:r w:rsidRPr="007C5C3E">
              <w:rPr>
                <w:b/>
                <w:sz w:val="20"/>
                <w:szCs w:val="20"/>
                <w:u w:val="single"/>
              </w:rPr>
              <w:t xml:space="preserve">maximum </w:t>
            </w:r>
            <w:r>
              <w:rPr>
                <w:b/>
                <w:sz w:val="20"/>
                <w:szCs w:val="20"/>
                <w:u w:val="single"/>
              </w:rPr>
              <w:t>de 3</w:t>
            </w:r>
            <w:r w:rsidRPr="007C5C3E">
              <w:rPr>
                <w:b/>
                <w:sz w:val="20"/>
                <w:szCs w:val="20"/>
                <w:u w:val="single"/>
              </w:rPr>
              <w:t xml:space="preserve"> mois)</w:t>
            </w:r>
          </w:p>
        </w:tc>
        <w:tc>
          <w:tcPr>
            <w:tcW w:w="1696" w:type="dxa"/>
            <w:vAlign w:val="center"/>
          </w:tcPr>
          <w:p w:rsidR="00834606" w:rsidRPr="007C5C3E" w:rsidRDefault="00834606" w:rsidP="00AB0B00">
            <w:pPr>
              <w:jc w:val="center"/>
              <w:rPr>
                <w:b/>
                <w:sz w:val="20"/>
                <w:szCs w:val="20"/>
                <w:u w:val="single"/>
              </w:rPr>
            </w:pPr>
            <w:r w:rsidRPr="007C5C3E">
              <w:rPr>
                <w:b/>
                <w:sz w:val="20"/>
                <w:szCs w:val="20"/>
                <w:u w:val="single"/>
              </w:rPr>
              <w:t>Non démontées</w:t>
            </w:r>
          </w:p>
        </w:tc>
      </w:tr>
      <w:tr w:rsidR="00834606" w:rsidTr="00AB0B00">
        <w:tc>
          <w:tcPr>
            <w:tcW w:w="2028" w:type="dxa"/>
            <w:vAlign w:val="center"/>
          </w:tcPr>
          <w:p w:rsidR="00834606" w:rsidRPr="007C5C3E" w:rsidRDefault="00834606" w:rsidP="00AB0B00">
            <w:pPr>
              <w:jc w:val="center"/>
              <w:rPr>
                <w:b/>
                <w:sz w:val="20"/>
                <w:szCs w:val="20"/>
                <w:u w:val="single"/>
              </w:rPr>
            </w:pPr>
            <w:r w:rsidRPr="007C5C3E">
              <w:rPr>
                <w:b/>
                <w:sz w:val="20"/>
                <w:szCs w:val="20"/>
                <w:u w:val="single"/>
              </w:rPr>
              <w:t>Inférieur à 10 m²</w:t>
            </w:r>
          </w:p>
        </w:tc>
        <w:tc>
          <w:tcPr>
            <w:tcW w:w="3381" w:type="dxa"/>
            <w:gridSpan w:val="3"/>
            <w:vAlign w:val="center"/>
          </w:tcPr>
          <w:p w:rsidR="00834606" w:rsidRPr="007C5C3E" w:rsidRDefault="00834606" w:rsidP="00AB0B00">
            <w:pPr>
              <w:jc w:val="center"/>
              <w:rPr>
                <w:sz w:val="18"/>
                <w:szCs w:val="18"/>
              </w:rPr>
            </w:pPr>
            <w:r w:rsidRPr="007C5C3E">
              <w:rPr>
                <w:sz w:val="18"/>
                <w:szCs w:val="18"/>
              </w:rPr>
              <w:t>Dispensée d’autorisation d’urbanisme</w:t>
            </w:r>
          </w:p>
        </w:tc>
        <w:tc>
          <w:tcPr>
            <w:tcW w:w="3628" w:type="dxa"/>
            <w:gridSpan w:val="3"/>
            <w:vAlign w:val="center"/>
          </w:tcPr>
          <w:p w:rsidR="00834606" w:rsidRPr="007C5C3E" w:rsidRDefault="00834606" w:rsidP="00AB0B00">
            <w:pPr>
              <w:jc w:val="center"/>
              <w:rPr>
                <w:sz w:val="18"/>
                <w:szCs w:val="18"/>
              </w:rPr>
            </w:pPr>
            <w:r w:rsidRPr="007C5C3E">
              <w:rPr>
                <w:sz w:val="18"/>
                <w:szCs w:val="18"/>
              </w:rPr>
              <w:t>Dispensée d’autorisation d’urbanisme</w:t>
            </w:r>
          </w:p>
        </w:tc>
      </w:tr>
      <w:tr w:rsidR="00834606" w:rsidTr="00AB0B00">
        <w:tc>
          <w:tcPr>
            <w:tcW w:w="2028" w:type="dxa"/>
            <w:vAlign w:val="center"/>
          </w:tcPr>
          <w:p w:rsidR="00834606" w:rsidRPr="007C5C3E" w:rsidRDefault="00834606" w:rsidP="00AB0B00">
            <w:pPr>
              <w:jc w:val="center"/>
              <w:rPr>
                <w:b/>
                <w:sz w:val="20"/>
                <w:szCs w:val="20"/>
                <w:u w:val="single"/>
              </w:rPr>
            </w:pPr>
            <w:r w:rsidRPr="007C5C3E">
              <w:rPr>
                <w:b/>
                <w:sz w:val="20"/>
                <w:szCs w:val="20"/>
                <w:u w:val="single"/>
              </w:rPr>
              <w:t>De 10 m² à 100m²</w:t>
            </w:r>
          </w:p>
        </w:tc>
        <w:tc>
          <w:tcPr>
            <w:tcW w:w="1762" w:type="dxa"/>
            <w:gridSpan w:val="2"/>
            <w:vAlign w:val="center"/>
          </w:tcPr>
          <w:p w:rsidR="00834606" w:rsidRPr="007C5C3E" w:rsidRDefault="00834606" w:rsidP="00AB0B00">
            <w:pPr>
              <w:jc w:val="center"/>
              <w:rPr>
                <w:sz w:val="18"/>
                <w:szCs w:val="18"/>
              </w:rPr>
            </w:pPr>
            <w:r w:rsidRPr="007C5C3E">
              <w:rPr>
                <w:sz w:val="18"/>
                <w:szCs w:val="18"/>
              </w:rPr>
              <w:t>Déclaration en mairie</w:t>
            </w:r>
          </w:p>
        </w:tc>
        <w:tc>
          <w:tcPr>
            <w:tcW w:w="1619" w:type="dxa"/>
            <w:vAlign w:val="center"/>
          </w:tcPr>
          <w:p w:rsidR="00834606" w:rsidRPr="007C5C3E" w:rsidRDefault="00834606" w:rsidP="00AB0B00">
            <w:pPr>
              <w:jc w:val="center"/>
              <w:rPr>
                <w:sz w:val="18"/>
                <w:szCs w:val="18"/>
              </w:rPr>
            </w:pPr>
            <w:r w:rsidRPr="007C5C3E">
              <w:rPr>
                <w:sz w:val="18"/>
                <w:szCs w:val="18"/>
              </w:rPr>
              <w:t>Déclaration en mairie</w:t>
            </w:r>
          </w:p>
        </w:tc>
        <w:tc>
          <w:tcPr>
            <w:tcW w:w="1829" w:type="dxa"/>
            <w:vAlign w:val="center"/>
          </w:tcPr>
          <w:p w:rsidR="00834606" w:rsidRPr="007C5C3E" w:rsidRDefault="00834606" w:rsidP="00AB0B00">
            <w:pPr>
              <w:jc w:val="center"/>
              <w:rPr>
                <w:sz w:val="18"/>
                <w:szCs w:val="18"/>
              </w:rPr>
            </w:pPr>
            <w:r w:rsidRPr="007C5C3E">
              <w:rPr>
                <w:sz w:val="18"/>
                <w:szCs w:val="18"/>
              </w:rPr>
              <w:t xml:space="preserve">Dispensée d’autorisation </w:t>
            </w:r>
          </w:p>
        </w:tc>
        <w:tc>
          <w:tcPr>
            <w:tcW w:w="1799" w:type="dxa"/>
            <w:gridSpan w:val="2"/>
            <w:vAlign w:val="center"/>
          </w:tcPr>
          <w:p w:rsidR="00834606" w:rsidRPr="007C5C3E" w:rsidRDefault="00834606" w:rsidP="00AB0B00">
            <w:pPr>
              <w:jc w:val="center"/>
              <w:rPr>
                <w:sz w:val="18"/>
                <w:szCs w:val="18"/>
              </w:rPr>
            </w:pPr>
            <w:r w:rsidRPr="007C5C3E">
              <w:rPr>
                <w:sz w:val="18"/>
                <w:szCs w:val="18"/>
              </w:rPr>
              <w:t>Déclaration en mairie</w:t>
            </w:r>
          </w:p>
        </w:tc>
      </w:tr>
      <w:tr w:rsidR="00834606" w:rsidTr="00AB0B00">
        <w:tc>
          <w:tcPr>
            <w:tcW w:w="2028" w:type="dxa"/>
            <w:vAlign w:val="center"/>
          </w:tcPr>
          <w:p w:rsidR="00834606" w:rsidRPr="007C5C3E" w:rsidRDefault="00834606" w:rsidP="00AB0B00">
            <w:pPr>
              <w:jc w:val="center"/>
              <w:rPr>
                <w:b/>
                <w:sz w:val="20"/>
                <w:szCs w:val="20"/>
                <w:u w:val="single"/>
              </w:rPr>
            </w:pPr>
            <w:r w:rsidRPr="007C5C3E">
              <w:rPr>
                <w:b/>
                <w:sz w:val="20"/>
                <w:szCs w:val="20"/>
                <w:u w:val="single"/>
              </w:rPr>
              <w:t>Supérieur à 100 m²</w:t>
            </w:r>
          </w:p>
        </w:tc>
        <w:tc>
          <w:tcPr>
            <w:tcW w:w="1762" w:type="dxa"/>
            <w:gridSpan w:val="2"/>
            <w:vAlign w:val="center"/>
          </w:tcPr>
          <w:p w:rsidR="00834606" w:rsidRPr="007C5C3E" w:rsidRDefault="00834606" w:rsidP="00AB0B00">
            <w:pPr>
              <w:jc w:val="center"/>
              <w:rPr>
                <w:sz w:val="18"/>
                <w:szCs w:val="18"/>
              </w:rPr>
            </w:pPr>
            <w:r w:rsidRPr="007C5C3E">
              <w:rPr>
                <w:sz w:val="18"/>
                <w:szCs w:val="18"/>
              </w:rPr>
              <w:t>Permis de construire</w:t>
            </w:r>
          </w:p>
        </w:tc>
        <w:tc>
          <w:tcPr>
            <w:tcW w:w="1619" w:type="dxa"/>
            <w:vAlign w:val="center"/>
          </w:tcPr>
          <w:p w:rsidR="00834606" w:rsidRPr="007C5C3E" w:rsidRDefault="00834606" w:rsidP="00AB0B00">
            <w:pPr>
              <w:jc w:val="center"/>
              <w:rPr>
                <w:sz w:val="18"/>
                <w:szCs w:val="18"/>
              </w:rPr>
            </w:pPr>
            <w:r w:rsidRPr="007C5C3E">
              <w:rPr>
                <w:sz w:val="18"/>
                <w:szCs w:val="18"/>
              </w:rPr>
              <w:t>Permis de construire</w:t>
            </w:r>
          </w:p>
        </w:tc>
        <w:tc>
          <w:tcPr>
            <w:tcW w:w="1829" w:type="dxa"/>
            <w:vAlign w:val="center"/>
          </w:tcPr>
          <w:p w:rsidR="00834606" w:rsidRPr="007C5C3E" w:rsidRDefault="00834606" w:rsidP="00AB0B00">
            <w:pPr>
              <w:jc w:val="center"/>
              <w:rPr>
                <w:sz w:val="18"/>
                <w:szCs w:val="18"/>
              </w:rPr>
            </w:pPr>
            <w:r w:rsidRPr="007C5C3E">
              <w:rPr>
                <w:sz w:val="18"/>
                <w:szCs w:val="18"/>
              </w:rPr>
              <w:t>Permis de construire</w:t>
            </w:r>
          </w:p>
        </w:tc>
        <w:tc>
          <w:tcPr>
            <w:tcW w:w="1799" w:type="dxa"/>
            <w:gridSpan w:val="2"/>
            <w:vAlign w:val="center"/>
          </w:tcPr>
          <w:p w:rsidR="00834606" w:rsidRPr="007C5C3E" w:rsidRDefault="00834606" w:rsidP="00AB0B00">
            <w:pPr>
              <w:jc w:val="center"/>
              <w:rPr>
                <w:sz w:val="18"/>
                <w:szCs w:val="18"/>
              </w:rPr>
            </w:pPr>
            <w:r w:rsidRPr="007C5C3E">
              <w:rPr>
                <w:sz w:val="18"/>
                <w:szCs w:val="18"/>
              </w:rPr>
              <w:t>Permis de construire</w:t>
            </w:r>
          </w:p>
        </w:tc>
      </w:tr>
    </w:tbl>
    <w:p w:rsidR="00834606" w:rsidRDefault="00834606" w:rsidP="00834606">
      <w:pPr>
        <w:rPr>
          <w:b/>
          <w:u w:val="single"/>
        </w:rPr>
      </w:pPr>
    </w:p>
    <w:p w:rsidR="00834606" w:rsidRDefault="00834606" w:rsidP="00834606">
      <w:pPr>
        <w:pStyle w:val="Paragraphedeliste"/>
        <w:numPr>
          <w:ilvl w:val="0"/>
          <w:numId w:val="4"/>
        </w:numPr>
        <w:spacing w:before="100" w:beforeAutospacing="1" w:after="100" w:afterAutospacing="1"/>
      </w:pPr>
      <w:r>
        <w:t>RAPPEL DES OBLIGATIONS ET REGLES DE SECURITE ELEMENTAIRES</w:t>
      </w:r>
    </w:p>
    <w:p w:rsidR="00834606" w:rsidRPr="00E5096A" w:rsidRDefault="00834606" w:rsidP="00834606">
      <w:pPr>
        <w:spacing w:before="100" w:beforeAutospacing="1" w:after="100" w:afterAutospacing="1"/>
        <w:jc w:val="both"/>
      </w:pPr>
      <w:r>
        <w:t>S’il</w:t>
      </w:r>
      <w:r w:rsidRPr="00E5096A">
        <w:t xml:space="preserve"> dispos</w:t>
      </w:r>
      <w:r>
        <w:t>e</w:t>
      </w:r>
      <w:r w:rsidRPr="00E5096A">
        <w:t xml:space="preserve"> d'une piscine privée à usage </w:t>
      </w:r>
      <w:r>
        <w:t xml:space="preserve">individuel, le propriétaire doit </w:t>
      </w:r>
      <w:r w:rsidRPr="00E5096A">
        <w:t>installer au moins un de ces 4 équipements :</w:t>
      </w:r>
    </w:p>
    <w:p w:rsidR="00834606" w:rsidRPr="00E5096A" w:rsidRDefault="00834606" w:rsidP="00834606">
      <w:pPr>
        <w:numPr>
          <w:ilvl w:val="0"/>
          <w:numId w:val="2"/>
        </w:numPr>
        <w:spacing w:before="100" w:beforeAutospacing="1" w:after="100" w:afterAutospacing="1"/>
        <w:jc w:val="both"/>
      </w:pPr>
      <w:r w:rsidRPr="00E5096A">
        <w:t>Barrière de protection</w:t>
      </w:r>
      <w:r>
        <w:t>,</w:t>
      </w:r>
    </w:p>
    <w:p w:rsidR="00834606" w:rsidRPr="00E5096A" w:rsidRDefault="00834606" w:rsidP="00834606">
      <w:pPr>
        <w:numPr>
          <w:ilvl w:val="0"/>
          <w:numId w:val="2"/>
        </w:numPr>
        <w:spacing w:before="100" w:beforeAutospacing="1" w:after="100" w:afterAutospacing="1"/>
        <w:jc w:val="both"/>
      </w:pPr>
      <w:r w:rsidRPr="00E5096A">
        <w:t>Système d'alarme sonore (</w:t>
      </w:r>
      <w:r w:rsidRPr="00E5096A">
        <w:rPr>
          <w:i/>
          <w:iCs/>
        </w:rPr>
        <w:t>alarme d'immersion</w:t>
      </w:r>
      <w:r w:rsidRPr="00E5096A">
        <w:t xml:space="preserve"> informant de la chute d'un enfant dans l'eau ou </w:t>
      </w:r>
      <w:r w:rsidRPr="00E5096A">
        <w:rPr>
          <w:i/>
          <w:iCs/>
        </w:rPr>
        <w:t>alarme périmétrique</w:t>
      </w:r>
      <w:r w:rsidRPr="00E5096A">
        <w:t xml:space="preserve"> informant de l'approche d'un enfant du bassin)</w:t>
      </w:r>
      <w:r>
        <w:t>,</w:t>
      </w:r>
    </w:p>
    <w:p w:rsidR="00834606" w:rsidRPr="00E5096A" w:rsidRDefault="00834606" w:rsidP="00834606">
      <w:pPr>
        <w:numPr>
          <w:ilvl w:val="0"/>
          <w:numId w:val="2"/>
        </w:numPr>
        <w:spacing w:before="100" w:beforeAutospacing="1" w:after="100" w:afterAutospacing="1"/>
        <w:jc w:val="both"/>
      </w:pPr>
      <w:r w:rsidRPr="00E5096A">
        <w:t xml:space="preserve">Couverture de sécurité </w:t>
      </w:r>
      <w:r>
        <w:t xml:space="preserve">adaptée </w:t>
      </w:r>
      <w:r w:rsidRPr="00E5096A">
        <w:t>(bâche)</w:t>
      </w:r>
      <w:r>
        <w:t>,</w:t>
      </w:r>
    </w:p>
    <w:p w:rsidR="00834606" w:rsidRPr="00E5096A" w:rsidRDefault="00834606" w:rsidP="00834606">
      <w:pPr>
        <w:numPr>
          <w:ilvl w:val="0"/>
          <w:numId w:val="2"/>
        </w:numPr>
        <w:spacing w:before="100" w:beforeAutospacing="1" w:after="100" w:afterAutospacing="1"/>
        <w:jc w:val="both"/>
      </w:pPr>
      <w:r w:rsidRPr="00E5096A">
        <w:t>Abri de type véranda recouvrant intégralement le bassin</w:t>
      </w:r>
      <w:r>
        <w:t>,</w:t>
      </w:r>
    </w:p>
    <w:p w:rsidR="00834606" w:rsidRPr="00E5096A" w:rsidRDefault="00834606" w:rsidP="00834606">
      <w:pPr>
        <w:spacing w:before="100" w:beforeAutospacing="1" w:after="100" w:afterAutospacing="1"/>
        <w:jc w:val="both"/>
      </w:pPr>
      <w:r w:rsidRPr="00E5096A">
        <w:t xml:space="preserve">L'équipement doit être installé dans les piscines privées dont le bassin est partiellement ou totalement enterré. </w:t>
      </w:r>
    </w:p>
    <w:p w:rsidR="00834606" w:rsidRPr="00DC2FF4" w:rsidRDefault="00834606" w:rsidP="00834606">
      <w:pPr>
        <w:pBdr>
          <w:top w:val="single" w:sz="4" w:space="1" w:color="auto"/>
          <w:left w:val="single" w:sz="4" w:space="4" w:color="auto"/>
          <w:bottom w:val="single" w:sz="4" w:space="1" w:color="auto"/>
          <w:right w:val="single" w:sz="4" w:space="4" w:color="auto"/>
        </w:pBdr>
        <w:jc w:val="both"/>
        <w:rPr>
          <w:rFonts w:ascii="Arial" w:hAnsi="Arial" w:cs="Arial"/>
        </w:rPr>
      </w:pPr>
      <w:r w:rsidRPr="00DC2FF4">
        <w:rPr>
          <w:rFonts w:ascii="Arial" w:hAnsi="Arial" w:cs="Arial"/>
        </w:rPr>
        <w:t>Les propriétaires qui ne satisfont pas à cette obligation encourent des sanctions pénales, notamment une amende de 45 000 €</w:t>
      </w:r>
      <w:r>
        <w:rPr>
          <w:rFonts w:ascii="Arial" w:hAnsi="Arial" w:cs="Arial"/>
        </w:rPr>
        <w:t>.</w:t>
      </w:r>
    </w:p>
    <w:p w:rsidR="00834606" w:rsidRDefault="00834606" w:rsidP="00834606">
      <w:pPr>
        <w:spacing w:before="100" w:beforeAutospacing="1" w:after="100" w:afterAutospacing="1"/>
        <w:jc w:val="both"/>
        <w:rPr>
          <w:rFonts w:cstheme="minorHAnsi"/>
        </w:rPr>
      </w:pPr>
      <w:r w:rsidRPr="00AB09A3">
        <w:rPr>
          <w:rFonts w:cstheme="minorHAnsi"/>
        </w:rPr>
        <w:t>Les piscines posées sur le sol démontables</w:t>
      </w:r>
      <w:r>
        <w:rPr>
          <w:rFonts w:cstheme="minorHAnsi"/>
        </w:rPr>
        <w:t xml:space="preserve"> et effectivement démontées au-delà des trois mois d’utilisation,</w:t>
      </w:r>
      <w:r w:rsidRPr="00AB09A3">
        <w:rPr>
          <w:rFonts w:cstheme="minorHAnsi"/>
        </w:rPr>
        <w:t xml:space="preserve"> ne sont pas concernées.</w:t>
      </w:r>
    </w:p>
    <w:p w:rsidR="00834606" w:rsidRDefault="00834606" w:rsidP="00834606">
      <w:pPr>
        <w:spacing w:before="100" w:beforeAutospacing="1" w:after="100" w:afterAutospacing="1"/>
        <w:jc w:val="both"/>
      </w:pPr>
      <w:r>
        <w:t>En effet, légalement, les propriétaires de piscines hors sol ne sont tenus à aucune obligation au sujet de la sécurité de leur piscine. Néanmoins, les dangers sont bien réels, notamment en ce qui concerne les jeunes enfants ; rappelons qu'une hauteur de 25 à 30 cm d'eau est suffisante pour qu'un enfant en bas âge se noie.</w:t>
      </w:r>
    </w:p>
    <w:p w:rsidR="00834606" w:rsidRPr="00DA5023" w:rsidRDefault="00834606" w:rsidP="00834606">
      <w:pPr>
        <w:pStyle w:val="NormalWeb"/>
        <w:ind w:left="708"/>
        <w:jc w:val="both"/>
        <w:rPr>
          <w:i/>
        </w:rPr>
      </w:pPr>
      <w:r w:rsidRPr="00DA5023">
        <w:rPr>
          <w:i/>
        </w:rPr>
        <w:t xml:space="preserve">« En 1997, un enfant âgé de 2 ans et demi s'est noyé dans une piscine hors sol en utilisant l'échelle d'accès à la piscine, celle-ci n'ayant pas été retirée après la baignade. Ce tragique accident doit nous rappeler que le point essentiel de la sécurité des piscines hors sol concerne l'accès au bassin. La Commission de la sécurité des Consommateurs émet un avis très clair à ce sujet : </w:t>
      </w:r>
    </w:p>
    <w:p w:rsidR="002A1CE5" w:rsidRDefault="00834606" w:rsidP="00834606">
      <w:pPr>
        <w:pStyle w:val="NormalWeb"/>
        <w:ind w:left="708"/>
        <w:jc w:val="both"/>
      </w:pPr>
      <w:r w:rsidRPr="00DA5023">
        <w:rPr>
          <w:rStyle w:val="Accentuation"/>
          <w:rFonts w:eastAsiaTheme="majorEastAsia"/>
        </w:rPr>
        <w:t>"Il est recommandé aux propriétaires de piscines hors sol dont la paroi est inférieure à 1,20 m et d'une surface équivalente à celle d'une piscine standard (4 x 8 m) d'installer un dispositif de sécurité (barrière etc.) autour du bassin ou sur les parois, pour prévenir les risques de noyades d'enfants âgés de moins de 6 ans."</w:t>
      </w:r>
      <w:bookmarkStart w:id="0" w:name="_GoBack"/>
      <w:bookmarkEnd w:id="0"/>
    </w:p>
    <w:sectPr w:rsidR="002A1C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7C59"/>
    <w:multiLevelType w:val="hybridMultilevel"/>
    <w:tmpl w:val="0D6687E8"/>
    <w:lvl w:ilvl="0" w:tplc="803C194E">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
    <w:nsid w:val="36F815A4"/>
    <w:multiLevelType w:val="multilevel"/>
    <w:tmpl w:val="CD14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AA1CC9"/>
    <w:multiLevelType w:val="hybridMultilevel"/>
    <w:tmpl w:val="13841DDE"/>
    <w:lvl w:ilvl="0" w:tplc="BB067CAE">
      <w:start w:val="1"/>
      <w:numFmt w:val="bullet"/>
      <w:pStyle w:val="Paragraphedeliste"/>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7E926E8F"/>
    <w:multiLevelType w:val="hybridMultilevel"/>
    <w:tmpl w:val="F2B493BA"/>
    <w:lvl w:ilvl="0" w:tplc="27D691F6">
      <w:start w:val="1"/>
      <w:numFmt w:val="decimal"/>
      <w:lvlText w:val="%1."/>
      <w:lvlJc w:val="left"/>
      <w:pPr>
        <w:ind w:left="530" w:hanging="360"/>
      </w:pPr>
      <w:rPr>
        <w:rFonts w:hint="default"/>
      </w:rPr>
    </w:lvl>
    <w:lvl w:ilvl="1" w:tplc="040C0019" w:tentative="1">
      <w:start w:val="1"/>
      <w:numFmt w:val="lowerLetter"/>
      <w:lvlText w:val="%2."/>
      <w:lvlJc w:val="left"/>
      <w:pPr>
        <w:ind w:left="1250" w:hanging="360"/>
      </w:pPr>
    </w:lvl>
    <w:lvl w:ilvl="2" w:tplc="040C001B" w:tentative="1">
      <w:start w:val="1"/>
      <w:numFmt w:val="lowerRoman"/>
      <w:lvlText w:val="%3."/>
      <w:lvlJc w:val="right"/>
      <w:pPr>
        <w:ind w:left="1970" w:hanging="180"/>
      </w:pPr>
    </w:lvl>
    <w:lvl w:ilvl="3" w:tplc="040C000F" w:tentative="1">
      <w:start w:val="1"/>
      <w:numFmt w:val="decimal"/>
      <w:lvlText w:val="%4."/>
      <w:lvlJc w:val="left"/>
      <w:pPr>
        <w:ind w:left="2690" w:hanging="360"/>
      </w:pPr>
    </w:lvl>
    <w:lvl w:ilvl="4" w:tplc="040C0019" w:tentative="1">
      <w:start w:val="1"/>
      <w:numFmt w:val="lowerLetter"/>
      <w:lvlText w:val="%5."/>
      <w:lvlJc w:val="left"/>
      <w:pPr>
        <w:ind w:left="3410" w:hanging="360"/>
      </w:pPr>
    </w:lvl>
    <w:lvl w:ilvl="5" w:tplc="040C001B" w:tentative="1">
      <w:start w:val="1"/>
      <w:numFmt w:val="lowerRoman"/>
      <w:lvlText w:val="%6."/>
      <w:lvlJc w:val="right"/>
      <w:pPr>
        <w:ind w:left="4130" w:hanging="180"/>
      </w:pPr>
    </w:lvl>
    <w:lvl w:ilvl="6" w:tplc="040C000F" w:tentative="1">
      <w:start w:val="1"/>
      <w:numFmt w:val="decimal"/>
      <w:lvlText w:val="%7."/>
      <w:lvlJc w:val="left"/>
      <w:pPr>
        <w:ind w:left="4850" w:hanging="360"/>
      </w:pPr>
    </w:lvl>
    <w:lvl w:ilvl="7" w:tplc="040C0019" w:tentative="1">
      <w:start w:val="1"/>
      <w:numFmt w:val="lowerLetter"/>
      <w:lvlText w:val="%8."/>
      <w:lvlJc w:val="left"/>
      <w:pPr>
        <w:ind w:left="5570" w:hanging="360"/>
      </w:pPr>
    </w:lvl>
    <w:lvl w:ilvl="8" w:tplc="040C001B" w:tentative="1">
      <w:start w:val="1"/>
      <w:numFmt w:val="lowerRoman"/>
      <w:lvlText w:val="%9."/>
      <w:lvlJc w:val="right"/>
      <w:pPr>
        <w:ind w:left="629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06"/>
    <w:rsid w:val="002A1CE5"/>
    <w:rsid w:val="008346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60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3460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34606"/>
    <w:pPr>
      <w:numPr>
        <w:numId w:val="1"/>
      </w:numPr>
      <w:spacing w:after="160" w:line="360" w:lineRule="auto"/>
      <w:contextualSpacing/>
      <w:jc w:val="both"/>
    </w:pPr>
    <w:rPr>
      <w:rFonts w:asciiTheme="minorHAnsi" w:eastAsiaTheme="minorHAnsi" w:hAnsiTheme="minorHAnsi" w:cs="Calibri Light"/>
      <w:szCs w:val="28"/>
      <w:lang w:eastAsia="en-US"/>
    </w:rPr>
  </w:style>
  <w:style w:type="character" w:styleId="Accentuation">
    <w:name w:val="Emphasis"/>
    <w:basedOn w:val="Policepardfaut"/>
    <w:uiPriority w:val="20"/>
    <w:qFormat/>
    <w:rsid w:val="00834606"/>
    <w:rPr>
      <w:i/>
      <w:iCs/>
    </w:rPr>
  </w:style>
  <w:style w:type="paragraph" w:styleId="NormalWeb">
    <w:name w:val="Normal (Web)"/>
    <w:basedOn w:val="Normal"/>
    <w:uiPriority w:val="99"/>
    <w:unhideWhenUsed/>
    <w:rsid w:val="0083460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60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3460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34606"/>
    <w:pPr>
      <w:numPr>
        <w:numId w:val="1"/>
      </w:numPr>
      <w:spacing w:after="160" w:line="360" w:lineRule="auto"/>
      <w:contextualSpacing/>
      <w:jc w:val="both"/>
    </w:pPr>
    <w:rPr>
      <w:rFonts w:asciiTheme="minorHAnsi" w:eastAsiaTheme="minorHAnsi" w:hAnsiTheme="minorHAnsi" w:cs="Calibri Light"/>
      <w:szCs w:val="28"/>
      <w:lang w:eastAsia="en-US"/>
    </w:rPr>
  </w:style>
  <w:style w:type="character" w:styleId="Accentuation">
    <w:name w:val="Emphasis"/>
    <w:basedOn w:val="Policepardfaut"/>
    <w:uiPriority w:val="20"/>
    <w:qFormat/>
    <w:rsid w:val="00834606"/>
    <w:rPr>
      <w:i/>
      <w:iCs/>
    </w:rPr>
  </w:style>
  <w:style w:type="paragraph" w:styleId="NormalWeb">
    <w:name w:val="Normal (Web)"/>
    <w:basedOn w:val="Normal"/>
    <w:uiPriority w:val="99"/>
    <w:unhideWhenUsed/>
    <w:rsid w:val="008346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2014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DGS</dc:creator>
  <cp:lastModifiedBy>DGS</cp:lastModifiedBy>
  <cp:revision>1</cp:revision>
  <dcterms:created xsi:type="dcterms:W3CDTF">2018-08-17T15:19:00Z</dcterms:created>
  <dcterms:modified xsi:type="dcterms:W3CDTF">2018-08-17T15:21:00Z</dcterms:modified>
</cp:coreProperties>
</file>